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4" w:line="264" w:lineRule="auto"/>
        <w:ind w:right="1008"/>
        <w:jc w:val="center"/>
        <w:rPr>
          <w:rFonts w:ascii="Calibri" w:cs="Calibri" w:eastAsia="Calibri" w:hAnsi="Calibri"/>
          <w:b w:val="1"/>
          <w:color w:val="1f487c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1f487c"/>
          <w:sz w:val="32"/>
          <w:szCs w:val="32"/>
          <w:rtl w:val="0"/>
        </w:rPr>
        <w:t xml:space="preserve">                Texas Fire Marshal’s Association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-198119</wp:posOffset>
            </wp:positionH>
            <wp:positionV relativeFrom="paragraph">
              <wp:posOffset>-306069</wp:posOffset>
            </wp:positionV>
            <wp:extent cx="995680" cy="99377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34" w:line="264" w:lineRule="auto"/>
        <w:ind w:right="1008"/>
        <w:jc w:val="center"/>
        <w:rPr>
          <w:rFonts w:ascii="Calibri" w:cs="Calibri" w:eastAsia="Calibri" w:hAnsi="Calibri"/>
          <w:b w:val="1"/>
          <w:color w:val="1f487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4" w:line="264" w:lineRule="auto"/>
        <w:ind w:left="720" w:right="1008" w:firstLine="720"/>
        <w:jc w:val="center"/>
        <w:rPr>
          <w:sz w:val="32"/>
          <w:szCs w:val="32"/>
        </w:rPr>
      </w:pPr>
      <w:r w:rsidDel="00000000" w:rsidR="00000000" w:rsidRPr="00000000">
        <w:rPr>
          <w:b w:val="1"/>
          <w:color w:val="1f487c"/>
          <w:sz w:val="32"/>
          <w:szCs w:val="32"/>
          <w:rtl w:val="0"/>
        </w:rPr>
        <w:t xml:space="preserve">Code and Technical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" w:line="264" w:lineRule="auto"/>
        <w:ind w:right="1008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006" w:hanging="3126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17365d"/>
          <w:sz w:val="52"/>
          <w:szCs w:val="52"/>
          <w:rtl w:val="0"/>
        </w:rPr>
        <w:t xml:space="preserve">2019 October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" w:lineRule="auto"/>
        <w:rPr>
          <w:rFonts w:ascii="Calibri" w:cs="Calibri" w:eastAsia="Calibri" w:hAnsi="Calibri"/>
          <w:b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37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</w:rPr>
        <mc:AlternateContent>
          <mc:Choice Requires="wpg">
            <w:drawing>
              <wp:inline distB="0" distT="0" distL="0" distR="0">
                <wp:extent cx="3533140" cy="1016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" y="8"/>
                          <a:ext cx="3533140" cy="10160"/>
                          <a:chOff x="8" y="8"/>
                          <a:chExt cx="7103672" cy="377491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579430" y="3774920"/>
                            <a:ext cx="35242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8" y="8"/>
                            <a:ext cx="5549" cy="2"/>
                          </a:xfrm>
                          <a:custGeom>
                            <a:rect b="b" l="l" r="r" t="t"/>
                            <a:pathLst>
                              <a:path extrusionOk="0" h="1" w="5549">
                                <a:moveTo>
                                  <a:pt x="0" y="0"/>
                                </a:moveTo>
                                <a:lnTo>
                                  <a:pt x="5549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1F487C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33140" cy="1016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14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5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5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5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5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mc:AlternateContent>
          <mc:Choice Requires="wpg">
            <w:drawing>
              <wp:inline distB="0" distT="0" distL="0" distR="0">
                <wp:extent cx="6230938" cy="276521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31948" y="3643475"/>
                          <a:ext cx="6428105" cy="27305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02.0000076293945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2018 Annual Meeting Report Update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30938" cy="276521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0938" cy="2765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q8wgsuqz7o8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bookmarkStart w:colFirst="0" w:colLast="0" w:name="_a42w5zy8muoq" w:id="1"/>
      <w:bookmarkEnd w:id="1"/>
      <w:r w:rsidDel="00000000" w:rsidR="00000000" w:rsidRPr="00000000">
        <w:rPr>
          <w:b w:val="1"/>
          <w:u w:val="single"/>
          <w:rtl w:val="0"/>
        </w:rPr>
        <w:t xml:space="preserve">TDI</w:t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bookmarkStart w:colFirst="0" w:colLast="0" w:name="_tn83epcedw8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bookmarkStart w:colFirst="0" w:colLast="0" w:name="_5uwdw8v6tbpm" w:id="3"/>
      <w:bookmarkEnd w:id="3"/>
      <w:r w:rsidDel="00000000" w:rsidR="00000000" w:rsidRPr="00000000">
        <w:rPr>
          <w:b w:val="1"/>
          <w:rtl w:val="0"/>
        </w:rPr>
        <w:t xml:space="preserve">Texas Department of Insurance adopts changes to alarm, sprinkler and fire works rules.</w:t>
      </w:r>
    </w:p>
    <w:p w:rsidR="00000000" w:rsidDel="00000000" w:rsidP="00000000" w:rsidRDefault="00000000" w:rsidRPr="00000000" w14:paraId="00000012">
      <w:pPr>
        <w:rPr>
          <w:b w:val="1"/>
        </w:rPr>
      </w:pPr>
      <w:bookmarkStart w:colFirst="0" w:colLast="0" w:name="_94roze58mgk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5sltbld4h8yz" w:id="5"/>
      <w:bookmarkEnd w:id="5"/>
      <w:r w:rsidDel="00000000" w:rsidR="00000000" w:rsidRPr="00000000">
        <w:rPr>
          <w:b w:val="1"/>
          <w:rtl w:val="0"/>
        </w:rPr>
        <w:t xml:space="preserve">To view the latest changes, visit TDI’s website at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https://www.tdi.texas.gov/rules/2019/index.html</w:t>
        </w:r>
      </w:hyperlink>
      <w:r w:rsidDel="00000000" w:rsidR="00000000" w:rsidRPr="00000000">
        <w:rPr>
          <w:b w:val="1"/>
          <w:rtl w:val="0"/>
        </w:rPr>
        <w:t xml:space="preserve"> and scroll down to Chapter 34 State Fire Marshal tab. Click on Adoption Filed 80/09/2019 link.</w:t>
      </w:r>
    </w:p>
    <w:p w:rsidR="00000000" w:rsidDel="00000000" w:rsidP="00000000" w:rsidRDefault="00000000" w:rsidRPr="00000000" w14:paraId="00000014">
      <w:pPr>
        <w:rPr>
          <w:b w:val="1"/>
        </w:rPr>
      </w:pPr>
      <w:bookmarkStart w:colFirst="0" w:colLast="0" w:name="_vntnx5hbsu9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bookmarkStart w:colFirst="0" w:colLast="0" w:name="_5a61i08z1uuh" w:id="7"/>
      <w:bookmarkEnd w:id="7"/>
      <w:r w:rsidDel="00000000" w:rsidR="00000000" w:rsidRPr="00000000">
        <w:rPr>
          <w:b w:val="1"/>
          <w:rtl w:val="0"/>
        </w:rPr>
        <w:t xml:space="preserve">Effective date of changes was 08/29/2019 </w:t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bookmarkStart w:colFirst="0" w:colLast="0" w:name="_buf468v28fi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bookmarkStart w:colFirst="0" w:colLast="0" w:name="_w376m8ni2rm5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bwirqnfcjln4" w:id="10"/>
      <w:bookmarkEnd w:id="10"/>
      <w:r w:rsidDel="00000000" w:rsidR="00000000" w:rsidRPr="00000000">
        <w:rPr>
          <w:b w:val="1"/>
          <w:u w:val="single"/>
          <w:rtl w:val="0"/>
        </w:rPr>
        <w:t xml:space="preserve">NFPA 921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bookmarkStart w:colFirst="0" w:colLast="0" w:name="_b5p1n24vjzk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zh4q7ga1itn9" w:id="12"/>
      <w:bookmarkEnd w:id="12"/>
      <w:r w:rsidDel="00000000" w:rsidR="00000000" w:rsidRPr="00000000">
        <w:rPr>
          <w:rtl w:val="0"/>
        </w:rPr>
        <w:t xml:space="preserve">The NFPA 921 Technical Committee met October 14-18 in Dallas to discuss the second draft. The 2021 edition of NFPA 921 should be finalized early Spring 2020.           </w:t>
      </w:r>
    </w:p>
    <w:p w:rsidR="00000000" w:rsidDel="00000000" w:rsidP="00000000" w:rsidRDefault="00000000" w:rsidRPr="00000000" w14:paraId="0000001B">
      <w:pPr>
        <w:rPr/>
      </w:pPr>
      <w:bookmarkStart w:colFirst="0" w:colLast="0" w:name="_nxb1ig5tbgr6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bookmarkStart w:colFirst="0" w:colLast="0" w:name="_pngxii35hfuu" w:id="14"/>
      <w:bookmarkEnd w:id="14"/>
      <w:r w:rsidDel="00000000" w:rsidR="00000000" w:rsidRPr="00000000">
        <w:rPr>
          <w:b w:val="1"/>
          <w:u w:val="single"/>
          <w:rtl w:val="0"/>
        </w:rPr>
        <w:t xml:space="preserve">NFPA 72</w:t>
      </w:r>
    </w:p>
    <w:p w:rsidR="00000000" w:rsidDel="00000000" w:rsidP="00000000" w:rsidRDefault="00000000" w:rsidRPr="00000000" w14:paraId="0000001D">
      <w:pPr>
        <w:rPr/>
      </w:pPr>
      <w:bookmarkStart w:colFirst="0" w:colLast="0" w:name="_azqgq1hd44l5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ah8snmhz0x99" w:id="16"/>
      <w:bookmarkEnd w:id="16"/>
      <w:r w:rsidDel="00000000" w:rsidR="00000000" w:rsidRPr="00000000">
        <w:rPr>
          <w:rtl w:val="0"/>
        </w:rPr>
        <w:t xml:space="preserve"> NFPA 72 finished 1st drafts this past summer and will have 2nd drafts next year 2020.  Should be complete 2021.</w:t>
      </w:r>
    </w:p>
    <w:sectPr>
      <w:pgSz w:h="15840" w:w="12240"/>
      <w:pgMar w:bottom="280" w:top="1420" w:left="1220" w:right="9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4" w:lineRule="auto"/>
      <w:ind w:left="580" w:hanging="360"/>
    </w:pPr>
    <w:rPr>
      <w:rFonts w:ascii="Calibri" w:cs="Calibri" w:eastAsia="Calibri" w:hAnsi="Calibri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di.texas.gov/rules/2019/index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